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F" w:rsidRDefault="003A48DF" w:rsidP="003A48DF">
      <w:pPr>
        <w:jc w:val="both"/>
      </w:pPr>
      <w:bookmarkStart w:id="0" w:name="_GoBack"/>
      <w:bookmarkEnd w:id="0"/>
      <w:r w:rsidRPr="00F75402">
        <w:t>Ответы на тесты должны быть присланы на электронную почту.</w:t>
      </w:r>
    </w:p>
    <w:p w:rsidR="00CB2A09" w:rsidRDefault="00CB2A09" w:rsidP="003A48DF">
      <w:pPr>
        <w:jc w:val="both"/>
      </w:pPr>
    </w:p>
    <w:p w:rsidR="00CB2A09" w:rsidRPr="00F75402" w:rsidRDefault="00CB2A09" w:rsidP="003A48DF">
      <w:pPr>
        <w:jc w:val="both"/>
      </w:pPr>
      <w:r>
        <w:t>24.03.2020 Экзамен</w:t>
      </w:r>
    </w:p>
    <w:p w:rsidR="003A48DF" w:rsidRPr="00F75402" w:rsidRDefault="003A48DF" w:rsidP="003A48DF">
      <w:pPr>
        <w:jc w:val="both"/>
      </w:pPr>
    </w:p>
    <w:p w:rsidR="00FA1BB8" w:rsidRDefault="00FA1BB8" w:rsidP="00FA1BB8">
      <w:pPr>
        <w:rPr>
          <w:b/>
          <w:color w:val="000000"/>
        </w:rPr>
      </w:pPr>
      <w:r w:rsidRPr="00BF3F96">
        <w:rPr>
          <w:b/>
          <w:color w:val="000000"/>
        </w:rPr>
        <w:t>Стратегическое взаимодействие крупных фирм на рынке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1. Олигополия – это: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содружество частных предприятий;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Б) тип рыночной структуры;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фирма монополист;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Г) способ интеграции производств.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2. К нестратегическим барьерам входа на рынок относится интеграция: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А) горизонтальная;</w:t>
      </w:r>
    </w:p>
    <w:p w:rsidR="00FA1BB8" w:rsidRPr="00BF3F96" w:rsidRDefault="00CB2A09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>
        <w:rPr>
          <w:color w:val="000000"/>
        </w:rPr>
        <w:t>Б) прямая;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В) вертикальная;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условная.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3. Что не оказывает влияния на структуру промышленности: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научно-технический прогресс;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iCs/>
          <w:color w:val="000000"/>
        </w:rPr>
        <w:t>Б) численность населения;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уровень культуры и материального состояния населения;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экономическая политика государства.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4. К ценовым барьерам относится: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дополнительное инвестирование;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Б) применение запретительных цен;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дифференциация продукции;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Г) вертикальная интеграция.</w:t>
      </w:r>
    </w:p>
    <w:p w:rsidR="00FA1BB8" w:rsidRPr="00BF3F96" w:rsidRDefault="00FA1BB8" w:rsidP="00FA1BB8">
      <w:pPr>
        <w:tabs>
          <w:tab w:val="left" w:pos="108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5. В модели Форхаймера доминирующая фирма определяет: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какой объем продукции будет максимизировать ее прибыль;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какая цена на продукцию будет максимизировать ее прибыль;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какой уровень рекламы будет максимизировать ее прибыль;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какой уровень издержек будет максимизировать ее прибыль;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Д) какое количество конкурентных фирм будет присутствовать на рынке.</w:t>
      </w:r>
    </w:p>
    <w:p w:rsidR="00FA1BB8" w:rsidRDefault="00FA1BB8" w:rsidP="00FA1BB8">
      <w:r w:rsidRPr="00BF3F96">
        <w:rPr>
          <w:b/>
          <w:color w:val="000000"/>
        </w:rPr>
        <w:t>Вертикальная интеграция и вертикальные ограничения на отраслевых рынках</w:t>
      </w:r>
    </w:p>
    <w:p w:rsidR="00FA1BB8" w:rsidRPr="00BF3F96" w:rsidRDefault="00FA1BB8" w:rsidP="00FA1BB8">
      <w:pPr>
        <w:numPr>
          <w:ilvl w:val="4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Поглощения, в результате которых улучшается эффективность работы предприятия, называют: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стяжательными поглощениями;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аллокативными поглощениями;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управленческими поглощениями;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конгломератными поглощениями.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2. Сколько типов рыночных структур принято выделять: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2;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Б) 4;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В) 3;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5.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3. Какой из показателей не характеризует оценку эффективности размещения производства: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А) коэффициент опережения;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капитальные вложения;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В) уровень обеспеченности продукции;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приведенные затраты.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4. Выделите показатель, не характеризующий отраслевую структуру промышленности: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доля отдельной отрасли в общем объеме промышленного производства;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lastRenderedPageBreak/>
        <w:t>Б) коэффициент опережения;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соотношение между добывающими и перерабатывающими отраслями;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Г) капитальные вложения.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5. Изучение отраслевых рынков с позиций определенного товара и определение границ рынка данного товара было предложено: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А) Кейнсом;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>Б) Кузнецом;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iCs/>
          <w:color w:val="000000"/>
        </w:rPr>
        <w:t>В) Робинсоном;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Марксом.</w:t>
      </w:r>
    </w:p>
    <w:p w:rsidR="00FA1BB8" w:rsidRDefault="00FA1BB8" w:rsidP="00FA1BB8"/>
    <w:p w:rsidR="00FA1BB8" w:rsidRDefault="00FA1BB8" w:rsidP="00FA1BB8">
      <w:r w:rsidRPr="00BF3F96">
        <w:rPr>
          <w:b/>
          <w:color w:val="000000"/>
        </w:rPr>
        <w:t>Ценовые стратегии фирм и структура рынка</w:t>
      </w:r>
    </w:p>
    <w:p w:rsidR="00FA1BB8" w:rsidRPr="00BF3F96" w:rsidRDefault="00FA1BB8" w:rsidP="00FA1BB8">
      <w:pPr>
        <w:numPr>
          <w:ilvl w:val="1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Ценовая дискриминация второй степени предполагает: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межличностное и межперсональное различение цен спроса;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только межличностное различение цен спроса;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только межперсональное различение цен спроса;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нет правильного ответа.</w:t>
      </w:r>
    </w:p>
    <w:p w:rsidR="00FA1BB8" w:rsidRPr="00BF3F96" w:rsidRDefault="00FA1BB8" w:rsidP="00FA1BB8">
      <w:pPr>
        <w:numPr>
          <w:ilvl w:val="1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 условиях ценовой дискриминации выполняется следующее (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,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,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 xml:space="preserve"> – оптимальные для дискриминирующей фирмы объемы при соответс</w:t>
      </w:r>
      <w:r w:rsidRPr="00BF3F96">
        <w:rPr>
          <w:color w:val="000000"/>
        </w:rPr>
        <w:t>т</w:t>
      </w:r>
      <w:r w:rsidRPr="00BF3F96">
        <w:rPr>
          <w:color w:val="000000"/>
        </w:rPr>
        <w:t>вующих видах ценовой дискриминации):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А)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&lt;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 &lt;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>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Б)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&gt;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 &gt;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>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В)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&gt;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 и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>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Г)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&lt;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 и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>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Д)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 xml:space="preserve"> &gt;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и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>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Е)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</w:t>
      </w:r>
      <w:r w:rsidRPr="00BF3F96">
        <w:rPr>
          <w:color w:val="000000"/>
        </w:rPr>
        <w:t xml:space="preserve"> &gt;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</w:t>
      </w:r>
      <w:r w:rsidRPr="00BF3F96">
        <w:rPr>
          <w:color w:val="000000"/>
        </w:rPr>
        <w:t xml:space="preserve"> и </w:t>
      </w:r>
      <w:r w:rsidRPr="00BF3F96">
        <w:rPr>
          <w:color w:val="000000"/>
          <w:lang w:val="en-US"/>
        </w:rPr>
        <w:t>Q</w:t>
      </w:r>
      <w:r w:rsidRPr="00BF3F96">
        <w:rPr>
          <w:color w:val="000000"/>
          <w:vertAlign w:val="subscript"/>
          <w:lang w:val="en-US"/>
        </w:rPr>
        <w:t>III</w:t>
      </w:r>
      <w:r w:rsidRPr="00BF3F96">
        <w:rPr>
          <w:color w:val="000000"/>
        </w:rPr>
        <w:t>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3.</w:t>
      </w:r>
      <w:r w:rsidRPr="00BF3F96">
        <w:rPr>
          <w:b/>
          <w:color w:val="000000"/>
        </w:rPr>
        <w:t xml:space="preserve"> </w:t>
      </w:r>
      <w:r w:rsidRPr="00BF3F96">
        <w:rPr>
          <w:color w:val="000000"/>
        </w:rPr>
        <w:t>Какой из барьеров входа на рынок является стратегическим: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дифференциация продукта;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эластичность и темпы роста спроса;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iCs/>
          <w:color w:val="000000"/>
        </w:rPr>
      </w:pPr>
      <w:r w:rsidRPr="00BF3F96">
        <w:rPr>
          <w:color w:val="000000"/>
        </w:rPr>
        <w:t xml:space="preserve">В) </w:t>
      </w:r>
      <w:r w:rsidRPr="00BF3F96">
        <w:rPr>
          <w:iCs/>
          <w:color w:val="000000"/>
        </w:rPr>
        <w:t>применение запретительных цен;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иностранная конкуренция.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4. Дополните определение:</w:t>
      </w:r>
    </w:p>
    <w:p w:rsidR="00FA1BB8" w:rsidRPr="00BF3F96" w:rsidRDefault="00FA1BB8" w:rsidP="00FA1BB8">
      <w:pPr>
        <w:pStyle w:val="2"/>
        <w:tabs>
          <w:tab w:val="left" w:pos="1080"/>
          <w:tab w:val="left" w:pos="1200"/>
        </w:tabs>
        <w:spacing w:after="0" w:line="240" w:lineRule="auto"/>
        <w:ind w:left="0" w:firstLine="720"/>
        <w:jc w:val="both"/>
        <w:rPr>
          <w:color w:val="000000"/>
        </w:rPr>
      </w:pPr>
      <w:r w:rsidRPr="00BF3F96">
        <w:rPr>
          <w:color w:val="000000"/>
        </w:rPr>
        <w:t>Отрасль – это совокупность предприятий, выпускающих товары, являющиеся близкими  …. в производстве.</w:t>
      </w:r>
    </w:p>
    <w:p w:rsidR="00FA1BB8" w:rsidRDefault="00FA1BB8" w:rsidP="00FA1BB8">
      <w:r w:rsidRPr="00BF3F96">
        <w:rPr>
          <w:b/>
          <w:color w:val="000000"/>
        </w:rPr>
        <w:t>Дифференциация продукта, структура рынка и конкуренция</w:t>
      </w:r>
    </w:p>
    <w:p w:rsidR="00FA1BB8" w:rsidRPr="00BF3F96" w:rsidRDefault="00FA1BB8" w:rsidP="00FA1BB8">
      <w:pPr>
        <w:numPr>
          <w:ilvl w:val="2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Снижение транспортных затрат в модели Хотеллинга означает: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снижение потребительского спроса на данный вид товара;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увеличение потребительского спроса на данный вид товара;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уменьшение дифференциации товара для потребителей;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увеличение приверженности потребителей к товару;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Д) нет правильного ответа.</w:t>
      </w:r>
    </w:p>
    <w:p w:rsidR="00FA1BB8" w:rsidRPr="00BF3F96" w:rsidRDefault="00FA1BB8" w:rsidP="00FA1BB8">
      <w:pPr>
        <w:numPr>
          <w:ilvl w:val="2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 модели Салопа увеличение барьеров входа и транспортных затрат пр</w:t>
      </w:r>
      <w:r w:rsidRPr="00BF3F96">
        <w:rPr>
          <w:color w:val="000000"/>
        </w:rPr>
        <w:t>и</w:t>
      </w:r>
      <w:r w:rsidRPr="00BF3F96">
        <w:rPr>
          <w:color w:val="000000"/>
        </w:rPr>
        <w:t>водит в долгосрочном плане к: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росту числа фирм;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сокращению числа фирм;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число фирм не изменится;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нет прямой связи.</w:t>
      </w:r>
    </w:p>
    <w:p w:rsidR="00FA1BB8" w:rsidRPr="00BF3F96" w:rsidRDefault="00FA1BB8" w:rsidP="00FA1BB8">
      <w:pPr>
        <w:numPr>
          <w:ilvl w:val="1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Объем расходов на рекламу в условиях монополистической конкуренции: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меньше оптимального;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больше оптимального;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равен оптимальному;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может быть, как выше, так и ниже оптимального.</w:t>
      </w:r>
    </w:p>
    <w:p w:rsidR="00FA1BB8" w:rsidRPr="00BF3F96" w:rsidRDefault="00FA1BB8" w:rsidP="00FA1BB8">
      <w:pPr>
        <w:numPr>
          <w:ilvl w:val="0"/>
          <w:numId w:val="1"/>
        </w:numPr>
        <w:tabs>
          <w:tab w:val="left" w:pos="108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При долгосрочном равновесии в модели монополистической конкуренции рыночная цена: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равна предельным издержкам;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превышает средние издержки;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равна средним издержкам;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равна предельной выручке;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Д) нет правильного ответа.</w:t>
      </w:r>
    </w:p>
    <w:p w:rsidR="00FA1BB8" w:rsidRPr="00BF3F96" w:rsidRDefault="00FA1BB8" w:rsidP="00FA1BB8">
      <w:pPr>
        <w:numPr>
          <w:ilvl w:val="0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 случае вертикальной дифференциации продукции потребители могут различать продукцию исходя из (отметьте правильные варианты):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торговой марки;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упаковки;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качества;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уровня цены;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Д) уровня дохода;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Е) удовлетворяемых вкусов.</w:t>
      </w:r>
    </w:p>
    <w:p w:rsidR="00FA1BB8" w:rsidRPr="00BF3F96" w:rsidRDefault="00FA1BB8" w:rsidP="00FA1BB8">
      <w:pPr>
        <w:numPr>
          <w:ilvl w:val="0"/>
          <w:numId w:val="1"/>
        </w:num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 xml:space="preserve"> В случае горизонтальной дифференциации продукции потребители могут различать продукцию исходя из (отметьте правильные варианты):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А) торговой марки;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Б) упаковки;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В) качества;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Г) уровня цены;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Д) уровня дохода;</w:t>
      </w:r>
    </w:p>
    <w:p w:rsidR="00FA1BB8" w:rsidRPr="00BF3F96" w:rsidRDefault="00FA1BB8" w:rsidP="00FA1BB8">
      <w:pPr>
        <w:tabs>
          <w:tab w:val="left" w:pos="1080"/>
          <w:tab w:val="left" w:pos="1200"/>
        </w:tabs>
        <w:ind w:firstLine="720"/>
        <w:jc w:val="both"/>
        <w:rPr>
          <w:color w:val="000000"/>
        </w:rPr>
      </w:pPr>
      <w:r w:rsidRPr="00BF3F96">
        <w:rPr>
          <w:color w:val="000000"/>
        </w:rPr>
        <w:t>Е) удовлетворяемых вкусов.</w:t>
      </w:r>
    </w:p>
    <w:p w:rsidR="00FA1BB8" w:rsidRDefault="00FA1BB8" w:rsidP="00FA1BB8">
      <w:r w:rsidRPr="00BF3F96">
        <w:rPr>
          <w:rStyle w:val="FontStyle23"/>
          <w:color w:val="000000"/>
        </w:rPr>
        <w:t>Структуры рынка, патенты и технологические инновации</w:t>
      </w:r>
    </w:p>
    <w:p w:rsidR="00FA1BB8" w:rsidRPr="00BF3F96" w:rsidRDefault="00FA1BB8" w:rsidP="00FA1BB8">
      <w:pPr>
        <w:pStyle w:val="a3"/>
        <w:tabs>
          <w:tab w:val="left" w:pos="591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1. При одинаковой структуре спроса до и после инновации в условиях нерешающей (второстепенной) инновации выигрывает в большей степени: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а) фирма-монополист;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б) фирма-олигополист;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в) доминирующая фирма;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г) фирма - совершенный конкурент;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фирма - монополистический конкурент.</w:t>
      </w:r>
    </w:p>
    <w:p w:rsidR="00FA1BB8" w:rsidRPr="00BF3F96" w:rsidRDefault="00FA1BB8" w:rsidP="00FA1BB8">
      <w:pPr>
        <w:pStyle w:val="a3"/>
        <w:tabs>
          <w:tab w:val="left" w:pos="59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2. Главной проблемой диффузии инновации является:</w:t>
      </w:r>
    </w:p>
    <w:p w:rsidR="00FA1BB8" w:rsidRPr="00BF3F96" w:rsidRDefault="00FA1BB8" w:rsidP="00FA1BB8">
      <w:pPr>
        <w:pStyle w:val="a3"/>
        <w:tabs>
          <w:tab w:val="left" w:pos="58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невозможность межотраслевого использования изобретения;</w:t>
      </w:r>
    </w:p>
    <w:p w:rsidR="00FA1BB8" w:rsidRPr="00BF3F96" w:rsidRDefault="00FA1BB8" w:rsidP="00FA1BB8">
      <w:pPr>
        <w:pStyle w:val="a3"/>
        <w:tabs>
          <w:tab w:val="left" w:pos="58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невозможность межстранового использования изобретения;</w:t>
      </w:r>
    </w:p>
    <w:p w:rsidR="00FA1BB8" w:rsidRPr="00BF3F96" w:rsidRDefault="00FA1BB8" w:rsidP="00FA1BB8">
      <w:pPr>
        <w:pStyle w:val="a3"/>
        <w:tabs>
          <w:tab w:val="left" w:pos="59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наличие проблемы «безбилетника»;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г) стимулирование прямых зарубежных инвестиций в данную отрасль;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невозможность патентной защиты от имитации.</w:t>
      </w:r>
    </w:p>
    <w:p w:rsidR="00FA1BB8" w:rsidRPr="00BF3F96" w:rsidRDefault="00FA1BB8" w:rsidP="00FA1BB8">
      <w:pPr>
        <w:pStyle w:val="a3"/>
        <w:tabs>
          <w:tab w:val="left" w:pos="610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3. На рынке действуют 100 фирм-инноваторов, предельные издержки па инновацию которых одинаковы, постоянные и равны 1. Какова должна быть величина награды за инновацию, чтобы стимулировать все фирмы участвовать в гонке за патентом, если параметр спроса равен 0,002?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а) 1000;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б) 625;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в) 100;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rStyle w:val="0pt"/>
          <w:color w:val="000000"/>
        </w:rPr>
        <w:t>г)</w:t>
      </w:r>
      <w:r w:rsidRPr="00BF3F96">
        <w:rPr>
          <w:color w:val="000000"/>
        </w:rPr>
        <w:t xml:space="preserve"> 215;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1.</w:t>
      </w:r>
    </w:p>
    <w:p w:rsidR="00FA1BB8" w:rsidRPr="00BF3F96" w:rsidRDefault="00FA1BB8" w:rsidP="00FA1BB8">
      <w:pPr>
        <w:pStyle w:val="a3"/>
        <w:tabs>
          <w:tab w:val="left" w:pos="577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4. Основными показателями научно-технического прогресса в стране являются:</w:t>
      </w:r>
    </w:p>
    <w:p w:rsidR="00FA1BB8" w:rsidRPr="00BF3F96" w:rsidRDefault="00FA1BB8" w:rsidP="00FA1BB8">
      <w:pPr>
        <w:pStyle w:val="a3"/>
        <w:tabs>
          <w:tab w:val="left" w:pos="58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расходы на ПИОКР как доля от ВВП страны;</w:t>
      </w:r>
    </w:p>
    <w:p w:rsidR="00FA1BB8" w:rsidRPr="00BF3F96" w:rsidRDefault="00FA1BB8" w:rsidP="00FA1BB8">
      <w:pPr>
        <w:pStyle w:val="a3"/>
        <w:tabs>
          <w:tab w:val="left" w:pos="574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доля государственного финансирования ПИОКР;</w:t>
      </w:r>
    </w:p>
    <w:p w:rsidR="00FA1BB8" w:rsidRPr="00BF3F96" w:rsidRDefault="00FA1BB8" w:rsidP="00FA1BB8">
      <w:pPr>
        <w:pStyle w:val="a3"/>
        <w:tabs>
          <w:tab w:val="left" w:pos="5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доля инноваций, получивших национальное и международное распространение;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г) число инновационно-активных предприятий в стране;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все перечисленное верно.</w:t>
      </w:r>
    </w:p>
    <w:p w:rsidR="00FA1BB8" w:rsidRPr="00BF3F96" w:rsidRDefault="00FA1BB8" w:rsidP="00FA1BB8">
      <w:pPr>
        <w:pStyle w:val="a3"/>
        <w:tabs>
          <w:tab w:val="left" w:pos="596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5. При разработке инновационной политики страны, как правило, принимают во внимание:</w:t>
      </w:r>
    </w:p>
    <w:p w:rsidR="00FA1BB8" w:rsidRPr="00BF3F96" w:rsidRDefault="00FA1BB8" w:rsidP="00FA1BB8">
      <w:pPr>
        <w:pStyle w:val="a3"/>
        <w:tabs>
          <w:tab w:val="left" w:pos="59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наличие и качество природных ресурсов;</w:t>
      </w:r>
    </w:p>
    <w:p w:rsidR="00FA1BB8" w:rsidRPr="00BF3F96" w:rsidRDefault="00FA1BB8" w:rsidP="00FA1BB8">
      <w:pPr>
        <w:pStyle w:val="a3"/>
        <w:tabs>
          <w:tab w:val="left" w:pos="574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социокультурные факторы;</w:t>
      </w:r>
    </w:p>
    <w:p w:rsidR="00FA1BB8" w:rsidRPr="00BF3F96" w:rsidRDefault="00FA1BB8" w:rsidP="00FA1BB8">
      <w:pPr>
        <w:pStyle w:val="a3"/>
        <w:tabs>
          <w:tab w:val="left" w:pos="5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политические факторы;</w:t>
      </w:r>
    </w:p>
    <w:p w:rsidR="00FA1BB8" w:rsidRPr="00BF3F96" w:rsidRDefault="00FA1BB8" w:rsidP="00FA1BB8">
      <w:pPr>
        <w:pStyle w:val="a3"/>
        <w:tabs>
          <w:tab w:val="left" w:pos="5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г) развитие конкуренции;</w:t>
      </w:r>
    </w:p>
    <w:p w:rsidR="00FA1BB8" w:rsidRPr="00BF3F96" w:rsidRDefault="00FA1BB8" w:rsidP="00FA1BB8">
      <w:pPr>
        <w:pStyle w:val="a3"/>
        <w:tabs>
          <w:tab w:val="left" w:pos="5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д) все вышеперечисленное.</w:t>
      </w:r>
    </w:p>
    <w:p w:rsidR="00FA1BB8" w:rsidRDefault="00FA1BB8" w:rsidP="00FA1BB8">
      <w:r w:rsidRPr="00BF3F96">
        <w:rPr>
          <w:b/>
          <w:color w:val="000000"/>
        </w:rPr>
        <w:t>Государственная отраслевая политика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1. Согласно антимонопольному законодательству России, если фирма обладает 65% и более долей рынка, она:</w:t>
      </w:r>
    </w:p>
    <w:p w:rsidR="00FA1BB8" w:rsidRPr="00BF3F96" w:rsidRDefault="00FA1BB8" w:rsidP="00FA1BB8">
      <w:pPr>
        <w:pStyle w:val="a3"/>
        <w:tabs>
          <w:tab w:val="left" w:pos="60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обязательно будет закрыта;</w:t>
      </w:r>
    </w:p>
    <w:p w:rsidR="00FA1BB8" w:rsidRPr="00BF3F96" w:rsidRDefault="00FA1BB8" w:rsidP="00FA1BB8">
      <w:pPr>
        <w:pStyle w:val="a3"/>
        <w:tabs>
          <w:tab w:val="left" w:pos="597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должна доказать, что ее деятельность не препятствует конкуренции;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в) не должна доказывать, что ее деятельность не препятствует конкуренции, скорее, антимонопольный орган должен доказать противоконкурентный характер ее действий;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г) обязательно будет расформирована на несколько более мелких фирм;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не подпадает под антимонопольное законодательство.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2. Наиболее общей особенностью конкурентной политики в ЕС по сравнению с антитрестовским законодательством США является:</w:t>
      </w:r>
    </w:p>
    <w:p w:rsidR="00FA1BB8" w:rsidRPr="00BF3F96" w:rsidRDefault="00FA1BB8" w:rsidP="00FA1BB8">
      <w:pPr>
        <w:pStyle w:val="a3"/>
        <w:tabs>
          <w:tab w:val="left" w:pos="4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отсутствие регулирования банковской сферы;</w:t>
      </w:r>
    </w:p>
    <w:p w:rsidR="00FA1BB8" w:rsidRPr="00BF3F96" w:rsidRDefault="00FA1BB8" w:rsidP="00FA1BB8">
      <w:pPr>
        <w:pStyle w:val="a3"/>
        <w:tabs>
          <w:tab w:val="left" w:pos="474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жесткое регулирование барьеров входа на рынок;</w:t>
      </w:r>
    </w:p>
    <w:p w:rsidR="00FA1BB8" w:rsidRPr="00BF3F96" w:rsidRDefault="00FA1BB8" w:rsidP="00FA1BB8">
      <w:pPr>
        <w:pStyle w:val="a3"/>
        <w:tabs>
          <w:tab w:val="left" w:pos="47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отсутствие запрета монополий;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г) отсутствие регулирования качества продукции;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неформальный, как правило, характер урегулирования спорных вопросов.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rStyle w:val="0pt1"/>
          <w:color w:val="000000"/>
        </w:rPr>
        <w:t>3.</w:t>
      </w:r>
      <w:r w:rsidRPr="00BF3F96">
        <w:rPr>
          <w:color w:val="000000"/>
        </w:rPr>
        <w:t xml:space="preserve"> К целям государственной антимонопольной политики не относится:</w:t>
      </w:r>
    </w:p>
    <w:p w:rsidR="00FA1BB8" w:rsidRPr="00BF3F96" w:rsidRDefault="00FA1BB8" w:rsidP="00FA1BB8">
      <w:pPr>
        <w:pStyle w:val="a3"/>
        <w:tabs>
          <w:tab w:val="left" w:pos="742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обеспечение эффективности производства и распределения ресурсов в экономике;</w:t>
      </w:r>
    </w:p>
    <w:p w:rsidR="00FA1BB8" w:rsidRPr="00BF3F96" w:rsidRDefault="00FA1BB8" w:rsidP="00FA1BB8">
      <w:pPr>
        <w:pStyle w:val="a3"/>
        <w:tabs>
          <w:tab w:val="left" w:pos="48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предотвращение нежелательных рыночных структур;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rStyle w:val="0pt1"/>
          <w:color w:val="000000"/>
        </w:rPr>
        <w:t>в)</w:t>
      </w:r>
      <w:r w:rsidRPr="00BF3F96">
        <w:rPr>
          <w:color w:val="000000"/>
        </w:rPr>
        <w:t xml:space="preserve"> помощь одним группам экономических агентов за счет других.</w:t>
      </w:r>
    </w:p>
    <w:p w:rsidR="00FA1BB8" w:rsidRPr="00BF3F96" w:rsidRDefault="00FA1BB8" w:rsidP="00FA1BB8">
      <w:pPr>
        <w:pStyle w:val="30"/>
        <w:shd w:val="clear" w:color="auto" w:fill="auto"/>
        <w:spacing w:before="0" w:line="221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F3F96">
        <w:rPr>
          <w:rFonts w:ascii="Times New Roman" w:hAnsi="Times New Roman"/>
          <w:color w:val="000000"/>
          <w:sz w:val="24"/>
          <w:szCs w:val="24"/>
        </w:rPr>
        <w:t>4. К незаконным (на основании буквы закона) относятся следующие действия фирм:</w:t>
      </w:r>
    </w:p>
    <w:p w:rsidR="00FA1BB8" w:rsidRPr="00BF3F96" w:rsidRDefault="00FA1BB8" w:rsidP="00FA1BB8">
      <w:pPr>
        <w:pStyle w:val="a3"/>
        <w:tabs>
          <w:tab w:val="left" w:pos="49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контроль уровня розничной цены;</w:t>
      </w:r>
    </w:p>
    <w:p w:rsidR="00FA1BB8" w:rsidRPr="00BF3F96" w:rsidRDefault="00FA1BB8" w:rsidP="00FA1BB8">
      <w:pPr>
        <w:pStyle w:val="a3"/>
        <w:tabs>
          <w:tab w:val="left" w:pos="483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взаимосвязанные продажи;</w:t>
      </w:r>
    </w:p>
    <w:p w:rsidR="00FA1BB8" w:rsidRPr="00BF3F96" w:rsidRDefault="00FA1BB8" w:rsidP="00FA1BB8">
      <w:pPr>
        <w:pStyle w:val="a3"/>
        <w:tabs>
          <w:tab w:val="left" w:pos="498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г) исключительные территории;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исключительные контракты;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е) грабительское ценообразование.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5. Некоторым монополиям разрешается существовать в рамках регулирования, потому что:</w:t>
      </w:r>
    </w:p>
    <w:p w:rsidR="00FA1BB8" w:rsidRPr="00BF3F96" w:rsidRDefault="00FA1BB8" w:rsidP="00FA1BB8">
      <w:pPr>
        <w:pStyle w:val="a3"/>
        <w:tabs>
          <w:tab w:val="left" w:pos="757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а) наличие большего числа фирм в отрасли приведет к большему положительному эффекту масштаба;</w:t>
      </w:r>
    </w:p>
    <w:p w:rsidR="00FA1BB8" w:rsidRPr="00BF3F96" w:rsidRDefault="00FA1BB8" w:rsidP="00FA1BB8">
      <w:pPr>
        <w:pStyle w:val="a3"/>
        <w:tabs>
          <w:tab w:val="left" w:pos="474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б) отрасль получает выгоды от естественной монополии;</w:t>
      </w:r>
    </w:p>
    <w:p w:rsidR="00FA1BB8" w:rsidRPr="00BF3F96" w:rsidRDefault="00FA1BB8" w:rsidP="00FA1BB8">
      <w:pPr>
        <w:pStyle w:val="a3"/>
        <w:tabs>
          <w:tab w:val="left" w:pos="757"/>
        </w:tabs>
        <w:spacing w:after="0"/>
        <w:ind w:firstLine="720"/>
        <w:rPr>
          <w:color w:val="000000"/>
        </w:rPr>
      </w:pPr>
      <w:r w:rsidRPr="00BF3F96">
        <w:rPr>
          <w:color w:val="000000"/>
        </w:rPr>
        <w:t>в) наличие большего числа фирм приведет к ценовой конкуренции в отрасли;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rStyle w:val="0pt1"/>
          <w:color w:val="000000"/>
        </w:rPr>
        <w:t>г)</w:t>
      </w:r>
      <w:r w:rsidRPr="00BF3F96">
        <w:rPr>
          <w:color w:val="000000"/>
        </w:rPr>
        <w:t xml:space="preserve"> наличие большего числа фирм приведет к неэффективному использованию мощностей;</w:t>
      </w:r>
    </w:p>
    <w:p w:rsidR="00FA1BB8" w:rsidRPr="00BF3F96" w:rsidRDefault="00FA1BB8" w:rsidP="00FA1BB8">
      <w:pPr>
        <w:pStyle w:val="a3"/>
        <w:spacing w:after="0"/>
        <w:ind w:firstLine="720"/>
        <w:rPr>
          <w:color w:val="000000"/>
        </w:rPr>
      </w:pPr>
      <w:r w:rsidRPr="00BF3F96">
        <w:rPr>
          <w:color w:val="000000"/>
        </w:rPr>
        <w:t>д) отрасль обслуживает большое число людей.</w:t>
      </w:r>
    </w:p>
    <w:p w:rsidR="00FA1BB8" w:rsidRDefault="00FA1BB8" w:rsidP="00C27DFD">
      <w:pPr>
        <w:jc w:val="both"/>
      </w:pPr>
    </w:p>
    <w:sectPr w:rsidR="00F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3932BC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293652"/>
    <w:rsid w:val="00304127"/>
    <w:rsid w:val="003A48DF"/>
    <w:rsid w:val="0075492E"/>
    <w:rsid w:val="00790185"/>
    <w:rsid w:val="00820F9D"/>
    <w:rsid w:val="00920F02"/>
    <w:rsid w:val="00A77890"/>
    <w:rsid w:val="00AB0672"/>
    <w:rsid w:val="00C27DFD"/>
    <w:rsid w:val="00C3176C"/>
    <w:rsid w:val="00CB2A09"/>
    <w:rsid w:val="00D37791"/>
    <w:rsid w:val="00DC0EDC"/>
    <w:rsid w:val="00F75402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71C7-3DAF-4F71-888F-F003F8B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FA1BB8"/>
    <w:pPr>
      <w:suppressAutoHyphens/>
      <w:spacing w:after="120"/>
    </w:pPr>
    <w:rPr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FA1BB8"/>
    <w:rPr>
      <w:kern w:val="2"/>
      <w:sz w:val="24"/>
      <w:szCs w:val="24"/>
      <w:lang w:val="ru-RU" w:eastAsia="ar-SA" w:bidi="ar-SA"/>
    </w:rPr>
  </w:style>
  <w:style w:type="paragraph" w:styleId="2">
    <w:name w:val="Body Text Indent 2"/>
    <w:basedOn w:val="a"/>
    <w:link w:val="20"/>
    <w:unhideWhenUsed/>
    <w:rsid w:val="00FA1BB8"/>
    <w:pPr>
      <w:suppressAutoHyphens/>
      <w:spacing w:after="120" w:line="480" w:lineRule="auto"/>
      <w:ind w:left="283"/>
    </w:pPr>
    <w:rPr>
      <w:kern w:val="2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A1BB8"/>
    <w:rPr>
      <w:kern w:val="2"/>
      <w:sz w:val="24"/>
      <w:szCs w:val="24"/>
      <w:lang w:val="ru-RU" w:eastAsia="ar-SA" w:bidi="ar-SA"/>
    </w:rPr>
  </w:style>
  <w:style w:type="character" w:customStyle="1" w:styleId="FontStyle23">
    <w:name w:val="Font Style23"/>
    <w:basedOn w:val="a0"/>
    <w:rsid w:val="00FA1BB8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FA1BB8"/>
    <w:rPr>
      <w:rFonts w:ascii="Courier New" w:hAnsi="Courier New"/>
      <w:spacing w:val="2"/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FA1BB8"/>
    <w:pPr>
      <w:shd w:val="clear" w:color="auto" w:fill="FFFFFF"/>
      <w:spacing w:before="60" w:line="226" w:lineRule="exact"/>
      <w:ind w:hanging="1560"/>
    </w:pPr>
    <w:rPr>
      <w:rFonts w:ascii="Courier New" w:hAnsi="Courier New"/>
      <w:spacing w:val="2"/>
      <w:sz w:val="18"/>
      <w:szCs w:val="18"/>
      <w:lang w:val="ru-RU" w:eastAsia="ru-RU"/>
    </w:rPr>
  </w:style>
  <w:style w:type="character" w:customStyle="1" w:styleId="0pt">
    <w:name w:val="Основной текст + Интервал 0 pt"/>
    <w:basedOn w:val="a0"/>
    <w:rsid w:val="00FA1BB8"/>
    <w:rPr>
      <w:rFonts w:ascii="Times New Roman" w:hAnsi="Times New Roman" w:cs="Times New Roman"/>
      <w:spacing w:val="-8"/>
      <w:sz w:val="18"/>
      <w:szCs w:val="18"/>
    </w:rPr>
  </w:style>
  <w:style w:type="character" w:customStyle="1" w:styleId="0pt1">
    <w:name w:val="Основной текст + Интервал 0 pt1"/>
    <w:basedOn w:val="a0"/>
    <w:rsid w:val="00FA1BB8"/>
    <w:rPr>
      <w:rFonts w:ascii="Times New Roman" w:hAnsi="Times New Roman" w:cs="Times New Roman"/>
      <w:spacing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тесты и задачи должны быть присланы на электронную почту</vt:lpstr>
    </vt:vector>
  </TitlesOfParts>
  <Company>Home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тесты и задачи должны быть присланы на электронную почту</dc:title>
  <dc:subject/>
  <dc:creator>НАТАША</dc:creator>
  <cp:keywords/>
  <dc:description/>
  <cp:lastModifiedBy>Анатолий Кирсанов</cp:lastModifiedBy>
  <cp:revision>2</cp:revision>
  <dcterms:created xsi:type="dcterms:W3CDTF">2020-03-20T11:09:00Z</dcterms:created>
  <dcterms:modified xsi:type="dcterms:W3CDTF">2020-03-20T11:09:00Z</dcterms:modified>
</cp:coreProperties>
</file>